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表2   </w:t>
      </w:r>
      <w:r>
        <w:rPr>
          <w:rFonts w:hint="eastAsia" w:ascii="黑体" w:eastAsia="黑体"/>
          <w:sz w:val="32"/>
          <w:szCs w:val="32"/>
          <w:lang w:eastAsia="zh-CN"/>
        </w:rPr>
        <w:t>沧州师范学院</w:t>
      </w:r>
      <w:r>
        <w:rPr>
          <w:rFonts w:hint="eastAsia" w:ascii="黑体" w:eastAsia="黑体"/>
          <w:sz w:val="32"/>
          <w:szCs w:val="32"/>
        </w:rPr>
        <w:t>学生教学信息汇总表</w:t>
      </w:r>
      <w:r>
        <w:rPr>
          <w:rFonts w:hint="eastAsia" w:ascii="楷体" w:hAnsi="楷体" w:eastAsia="楷体" w:cs="宋体"/>
          <w:spacing w:val="-6"/>
          <w:sz w:val="32"/>
          <w:szCs w:val="32"/>
        </w:rPr>
        <w:t>（学生教学信息员）</w:t>
      </w:r>
    </w:p>
    <w:p>
      <w:pPr>
        <w:spacing w:before="120" w:beforeLines="50" w:after="120" w:afterLines="50" w:line="360" w:lineRule="auto"/>
        <w:rPr>
          <w:sz w:val="24"/>
        </w:rPr>
      </w:pPr>
      <w:r>
        <w:rPr>
          <w:rFonts w:hint="eastAsia"/>
          <w:sz w:val="24"/>
        </w:rPr>
        <w:t>教学单位：                               汇总时间：     年    月     日</w:t>
      </w:r>
    </w:p>
    <w:tbl>
      <w:tblPr>
        <w:tblStyle w:val="3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31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</w:rPr>
              <w:t>情况反映与意见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</w:rPr>
              <w:t>建议</w:t>
            </w:r>
          </w:p>
        </w:tc>
        <w:tc>
          <w:tcPr>
            <w:tcW w:w="11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课堂教学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与</w:t>
            </w:r>
          </w:p>
          <w:p>
            <w:pPr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学生学习</w:t>
            </w:r>
          </w:p>
          <w:p>
            <w:pPr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（必填）</w:t>
            </w:r>
          </w:p>
        </w:tc>
        <w:tc>
          <w:tcPr>
            <w:tcW w:w="79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theme="minorBidi"/>
                <w:sz w:val="18"/>
                <w:szCs w:val="18"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1.课堂教学：师德师风、教学态度、教学内容、教学方法、教学水平、师生互动等。</w:t>
            </w:r>
          </w:p>
          <w:p>
            <w:pPr>
              <w:rPr>
                <w:rFonts w:ascii="楷体" w:hAnsi="楷体" w:eastAsia="楷体" w:cstheme="minorBidi"/>
                <w:sz w:val="18"/>
                <w:szCs w:val="18"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2.学生学习：出勤情况、课堂参与情况、学习态度等。</w:t>
            </w:r>
          </w:p>
          <w:p>
            <w:pPr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3.其他：教材选用、备课、课后作业、作业批改、课外辅导、课程设计、考试模式等。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7925" w:type="dxa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实习实践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等其他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教学环节</w:t>
            </w:r>
          </w:p>
        </w:tc>
        <w:tc>
          <w:tcPr>
            <w:tcW w:w="7925" w:type="dxa"/>
            <w:tcBorders>
              <w:bottom w:val="dotted" w:color="auto" w:sz="4" w:space="0"/>
            </w:tcBorders>
          </w:tcPr>
          <w:p>
            <w:pPr>
              <w:rPr>
                <w:rFonts w:ascii="楷体" w:hAnsi="楷体" w:eastAsia="楷体" w:cstheme="minorBidi"/>
                <w:sz w:val="18"/>
                <w:szCs w:val="18"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毕业论文、毕业实习、综合实习、见习等。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7925" w:type="dxa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58" w:type="dxa"/>
            <w:vMerge w:val="continue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教学管理</w:t>
            </w:r>
          </w:p>
        </w:tc>
        <w:tc>
          <w:tcPr>
            <w:tcW w:w="7925" w:type="dxa"/>
            <w:tcBorders>
              <w:bottom w:val="dotted" w:color="auto" w:sz="4" w:space="0"/>
            </w:tcBorders>
          </w:tcPr>
          <w:p>
            <w:pPr>
              <w:rPr>
                <w:rFonts w:ascii="楷体" w:hAnsi="楷体" w:eastAsia="楷体" w:cstheme="minorBidi"/>
                <w:sz w:val="18"/>
                <w:szCs w:val="18"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课程设置、课堂纪律、考风考纪、新生导师制的实行、师资、教学质量管理等。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558" w:type="dxa"/>
            <w:vMerge w:val="continue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7925" w:type="dxa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8" w:type="dxa"/>
            <w:vMerge w:val="continue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教学环境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  <w:r>
              <w:rPr>
                <w:rFonts w:hint="eastAsia" w:asciiTheme="minorEastAsia" w:hAnsiTheme="minorEastAsia" w:eastAsiaTheme="minorEastAsia" w:cstheme="minorBidi"/>
              </w:rPr>
              <w:t>及其他</w:t>
            </w:r>
          </w:p>
        </w:tc>
        <w:tc>
          <w:tcPr>
            <w:tcW w:w="7925" w:type="dxa"/>
            <w:tcBorders>
              <w:bottom w:val="dotted" w:color="auto" w:sz="4" w:space="0"/>
            </w:tcBorders>
          </w:tcPr>
          <w:p>
            <w:pPr>
              <w:rPr>
                <w:rFonts w:ascii="楷体" w:hAnsi="楷体" w:eastAsia="楷体" w:cstheme="minorBidi"/>
                <w:sz w:val="18"/>
                <w:szCs w:val="18"/>
              </w:rPr>
            </w:pPr>
            <w:r>
              <w:rPr>
                <w:rFonts w:hint="eastAsia" w:ascii="楷体" w:hAnsi="楷体" w:eastAsia="楷体" w:cstheme="minorBidi"/>
                <w:sz w:val="18"/>
                <w:szCs w:val="18"/>
              </w:rPr>
              <w:t>生活环境（如校园环境，宿舍、食堂等）、教学设施（如教室、实验室、图书馆、体育场馆等）等。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558" w:type="dxa"/>
            <w:vMerge w:val="continue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Bidi"/>
              </w:rPr>
            </w:pPr>
          </w:p>
        </w:tc>
        <w:tc>
          <w:tcPr>
            <w:tcW w:w="7925" w:type="dxa"/>
            <w:tcBorders>
              <w:top w:val="dotted" w:color="auto" w:sz="4" w:space="0"/>
            </w:tcBorders>
          </w:tcPr>
          <w:p>
            <w:pPr>
              <w:rPr>
                <w:rFonts w:asciiTheme="minorEastAsia" w:hAnsiTheme="minorEastAsia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</w:rPr>
              <w:t>主要亮点</w:t>
            </w:r>
          </w:p>
        </w:tc>
        <w:tc>
          <w:tcPr>
            <w:tcW w:w="90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/>
          <w:sz w:val="24"/>
        </w:rPr>
        <w:t>学生教学信息员：                                    教学质量</w:t>
      </w:r>
      <w:r>
        <w:rPr>
          <w:rFonts w:hint="eastAsia"/>
          <w:sz w:val="24"/>
          <w:lang w:eastAsia="zh-CN"/>
        </w:rPr>
        <w:t>监控中心</w:t>
      </w:r>
      <w:r>
        <w:rPr>
          <w:rFonts w:hint="eastAsia"/>
          <w:sz w:val="24"/>
        </w:rPr>
        <w:t>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kzNGEwMjUyMjA4YzNlZTBjNmM5MDZkNGFmNWYifQ=="/>
  </w:docVars>
  <w:rsids>
    <w:rsidRoot w:val="00000000"/>
    <w:rsid w:val="1E2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2023-06-10T06:19:49Z</dcterms:created>
  <dc:creator>lecoo</dc:creator>
  <cp:lastModifiedBy>梦﹡依然</cp:lastModifiedBy>
  <dcterms:modified xsi:type="dcterms:W3CDTF">2023-06-10T06:20:29Z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B46D161F022D4FE7A8AD0123D9BA0D87_12</vt:lpwstr>
  </property>
</Properties>
</file>